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99BFAE">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501083</w:t>
      </w:r>
      <w:bookmarkStart w:id="8" w:name="_GoBack"/>
      <w:bookmarkEnd w:id="8"/>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Athens, GR, 17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21</w:t>
      </w:r>
      <w:r>
        <w:rPr>
          <w:rFonts w:hint="default" w:ascii="Times New Roman" w:hAnsi="Times New Roman" w:cs="Times New Roman"/>
          <w:b/>
          <w:bCs/>
          <w:sz w:val="24"/>
          <w:highlight w:val="none"/>
          <w:vertAlign w:val="superscript"/>
        </w:rPr>
        <w:t>st</w:t>
      </w:r>
      <w:r>
        <w:rPr>
          <w:rFonts w:hint="default" w:ascii="Times New Roman" w:hAnsi="Times New Roman" w:cs="Times New Roman"/>
          <w:b/>
          <w:bCs/>
          <w:sz w:val="24"/>
          <w:highlight w:val="none"/>
        </w:rPr>
        <w:t xml:space="preserve"> February, 2025</w:t>
      </w:r>
    </w:p>
    <w:p w14:paraId="0C560141">
      <w:pPr>
        <w:tabs>
          <w:tab w:val="left" w:pos="1985"/>
        </w:tabs>
        <w:rPr>
          <w:rFonts w:ascii="Times New Roman" w:hAnsi="Times New Roman"/>
          <w:b/>
          <w:sz w:val="22"/>
          <w:highlight w:val="none"/>
        </w:rPr>
      </w:pPr>
    </w:p>
    <w:p w14:paraId="59468D55">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27</w:t>
      </w:r>
      <w:r>
        <w:rPr>
          <w:rFonts w:hint="eastAsia" w:ascii="Times New Roman" w:hAnsi="Times New Roman"/>
          <w:sz w:val="22"/>
          <w:highlight w:val="none"/>
        </w:rPr>
        <w:t>.</w:t>
      </w:r>
      <w:r>
        <w:rPr>
          <w:rFonts w:hint="eastAsia" w:ascii="Times New Roman" w:hAnsi="Times New Roman"/>
          <w:sz w:val="22"/>
          <w:highlight w:val="none"/>
          <w:lang w:val="en-US" w:eastAsia="zh-CN"/>
        </w:rPr>
        <w:t>2.1</w:t>
      </w:r>
    </w:p>
    <w:p w14:paraId="1F1B280F">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5D3DC2C7">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event triggered L1 measurement reporting</w:t>
      </w:r>
    </w:p>
    <w:bookmarkEnd w:id="4"/>
    <w:bookmarkEnd w:id="5"/>
    <w:p w14:paraId="58A2DA4F">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41F9F1D">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72C029F">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mobility enhancements Phase 4 was approved [1]. In RAN #105 meeting, the revised WID was approved [2]. The detailed objectives are duplicated as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1E74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09B4F14D">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inter-CU Layer1/Layer 2 Triggered Mobility (LTM) [RAN2, RAN3]</w:t>
            </w:r>
          </w:p>
          <w:p w14:paraId="6555FB69">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Prioritize the case when CU is acting as MN when DC is not configured</w:t>
            </w:r>
          </w:p>
          <w:p w14:paraId="5C9107EE">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When DC is configured, inter-CU LTM can be configured either in MN or in SN but not both at the same time. For such cases:</w:t>
            </w:r>
          </w:p>
          <w:p w14:paraId="16CF188C">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SN and MN is unchanged</w:t>
            </w:r>
          </w:p>
          <w:p w14:paraId="5AB1C3E5">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MN and SN is unchanged or SN is released</w:t>
            </w:r>
          </w:p>
          <w:p w14:paraId="0C006A08">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subsequent LTM mobility procedures aiming to avoid RRC configuration between cell switches as per Rel-18 LTM</w:t>
            </w:r>
          </w:p>
          <w:p w14:paraId="52A9949B">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Coordination with SA3 needed with respect to security key handling </w:t>
            </w:r>
          </w:p>
          <w:p w14:paraId="6366AD2F">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Note: Rel. 18 intra-CU LTM procedure is considered as baseline for adding inter-CU support</w:t>
            </w:r>
          </w:p>
          <w:p w14:paraId="5B82010E">
            <w:pPr>
              <w:rPr>
                <w:rFonts w:hint="default" w:ascii="Times New Roman" w:hAnsi="Times New Roman" w:cs="Times New Roman"/>
                <w:sz w:val="20"/>
                <w:szCs w:val="20"/>
                <w:highlight w:val="cyan"/>
              </w:rPr>
            </w:pPr>
          </w:p>
          <w:p w14:paraId="035E545B">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Measurements related enhancements for purpose of supporting LTM: [RAN2, RAN1]</w:t>
            </w:r>
          </w:p>
          <w:p w14:paraId="7F2F440A">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 related enhancements are applicable to Intra-CU MCG/SCG LTM and Inter-CU MCG/SCG LTM</w:t>
            </w:r>
          </w:p>
          <w:p w14:paraId="7111AA18">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components to support event triggered L1 measurement reporting [RAN2, RAN1]</w:t>
            </w:r>
          </w:p>
          <w:p w14:paraId="476135B1">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CSI-RS measurements for LTM procedures and enable CSI-RS based beam management [RAN1]</w:t>
            </w:r>
          </w:p>
          <w:p w14:paraId="3D70C268">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CSI acquisition on candidate cell(s) based on CSI-RS before or during LTM cell switch [RAN1]</w:t>
            </w:r>
          </w:p>
          <w:p w14:paraId="32168900">
            <w:pPr>
              <w:pStyle w:val="13"/>
              <w:ind w:left="360" w:firstLine="360"/>
              <w:rPr>
                <w:rFonts w:hint="default" w:ascii="Times New Roman" w:hAnsi="Times New Roman" w:cs="Times New Roman"/>
                <w:sz w:val="20"/>
                <w:szCs w:val="20"/>
              </w:rPr>
            </w:pPr>
          </w:p>
          <w:p w14:paraId="17351AFF">
            <w:pPr>
              <w:pStyle w:val="13"/>
              <w:ind w:left="360" w:firstLine="360"/>
              <w:rPr>
                <w:rFonts w:hint="default" w:ascii="Times New Roman" w:hAnsi="Times New Roman" w:cs="Times New Roman"/>
                <w:sz w:val="20"/>
                <w:szCs w:val="20"/>
              </w:rPr>
            </w:pPr>
            <w:r>
              <w:rPr>
                <w:rFonts w:hint="default" w:ascii="Times New Roman" w:hAnsi="Times New Roman" w:cs="Times New Roman"/>
                <w:sz w:val="20"/>
                <w:szCs w:val="20"/>
              </w:rPr>
              <w:t xml:space="preserve">NOTE: </w:t>
            </w:r>
            <w:r>
              <w:rPr>
                <w:rFonts w:hint="default" w:ascii="Times New Roman" w:hAnsi="Times New Roman" w:cs="Times New Roman"/>
                <w:sz w:val="20"/>
                <w:szCs w:val="20"/>
              </w:rPr>
              <w:tab/>
            </w:r>
            <w:r>
              <w:rPr>
                <w:rFonts w:hint="default" w:ascii="Times New Roman" w:hAnsi="Times New Roman" w:cs="Times New Roman"/>
                <w:sz w:val="20"/>
                <w:szCs w:val="20"/>
              </w:rPr>
              <w:t>RAN1 WG to decide on whether to support CSI report before or during the LTM cell switch, as part of the CSI acquisition procedure.</w:t>
            </w:r>
          </w:p>
          <w:p w14:paraId="5C110EC3">
            <w:pPr>
              <w:rPr>
                <w:rFonts w:hint="default" w:ascii="Times New Roman" w:hAnsi="Times New Roman" w:cs="Times New Roman"/>
                <w:sz w:val="20"/>
                <w:szCs w:val="20"/>
              </w:rPr>
            </w:pPr>
          </w:p>
          <w:p w14:paraId="57DDF63E">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of conditional Intra-CU LTM [RAN2, RAN3, RAN1]</w:t>
            </w:r>
          </w:p>
          <w:p w14:paraId="65F09C20">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UE evaluated conditions for triggering LTM</w:t>
            </w:r>
          </w:p>
          <w:p w14:paraId="78D684E5">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Aim to support conditional LTM including subsequent LTM</w:t>
            </w:r>
          </w:p>
          <w:p w14:paraId="6917D9E4">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Limit specifying the conditional LTM to the scenario where the UE is in non-DC </w:t>
            </w:r>
          </w:p>
          <w:p w14:paraId="16E72407">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Checkpoint at RAN#107 to review the objective on whether Intra-CU conditional LTM can be specified to DC scenarios and if so, to which cases. RAN WG work to not start before this checkpoint</w:t>
            </w:r>
          </w:p>
          <w:p w14:paraId="0E0C617C">
            <w:pPr>
              <w:rPr>
                <w:rFonts w:hint="default" w:ascii="Times New Roman" w:hAnsi="Times New Roman" w:cs="Times New Roman"/>
                <w:sz w:val="20"/>
                <w:szCs w:val="20"/>
              </w:rPr>
            </w:pPr>
          </w:p>
          <w:p w14:paraId="279C3E37">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RRM requirements related to the above objectives as necessary [RAN4]</w:t>
            </w:r>
          </w:p>
          <w:p w14:paraId="2608789F">
            <w:pPr>
              <w:keepNext w:val="0"/>
              <w:keepLines w:val="0"/>
              <w:pageBreakBefore w:val="0"/>
              <w:numPr>
                <w:ilvl w:val="0"/>
                <w:numId w:val="0"/>
              </w:numPr>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5FA70F89">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 there was initial discussion on measurements related enhancements for LTM, and a WF was agreed [3].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 xml:space="preserve">on </w:t>
      </w:r>
      <w:r>
        <w:rPr>
          <w:rFonts w:hint="eastAsia" w:ascii="Times New Roman" w:hAnsi="Times New Roman"/>
          <w:sz w:val="22"/>
          <w:highlight w:val="none"/>
          <w:lang w:val="en-US" w:eastAsia="zh-CN"/>
        </w:rPr>
        <w:t>event triggered L1 measurement reporting</w:t>
      </w:r>
      <w:r>
        <w:rPr>
          <w:rFonts w:hint="eastAsia" w:ascii="Times New Roman" w:hAnsi="Times New Roman"/>
          <w:bCs/>
          <w:iCs/>
          <w:sz w:val="20"/>
          <w:szCs w:val="20"/>
        </w:rPr>
        <w:t>.</w:t>
      </w:r>
    </w:p>
    <w:p w14:paraId="5708A40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BFC3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CB88811">
            <w:pPr>
              <w:pStyle w:val="5"/>
              <w:numPr>
                <w:ilvl w:val="0"/>
                <w:numId w:val="0"/>
              </w:numPr>
              <w:tabs>
                <w:tab w:val="left" w:pos="432"/>
                <w:tab w:val="clear" w:pos="864"/>
              </w:tabs>
              <w:rPr>
                <w:rFonts w:hint="default" w:ascii="Times New Roman" w:hAnsi="Times New Roman" w:cs="Times New Roman"/>
                <w:b/>
                <w:bCs/>
                <w:sz w:val="20"/>
                <w:szCs w:val="20"/>
                <w:highlight w:val="none"/>
                <w:lang w:val="en-US"/>
              </w:rPr>
            </w:pPr>
            <w:r>
              <w:rPr>
                <w:rFonts w:hint="default" w:ascii="Times New Roman" w:hAnsi="Times New Roman" w:cs="Times New Roman"/>
                <w:b/>
                <w:bCs/>
                <w:sz w:val="20"/>
                <w:szCs w:val="20"/>
                <w:highlight w:val="none"/>
                <w:lang w:val="en-US"/>
              </w:rPr>
              <w:t>Issue 2-6: impact of time-to-trigger (TTT) on RRM</w:t>
            </w:r>
          </w:p>
          <w:p w14:paraId="459833BB">
            <w:pPr>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&lt;Candidate options&gt;</w:t>
            </w:r>
          </w:p>
          <w:p w14:paraId="2AF756E9">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 xml:space="preserve">Option 1: </w:t>
            </w:r>
            <w:r>
              <w:rPr>
                <w:rFonts w:hint="default" w:ascii="Times New Roman" w:hAnsi="Times New Roman" w:cs="Times New Roman"/>
                <w:sz w:val="20"/>
                <w:szCs w:val="20"/>
                <w:highlight w:val="none"/>
                <w:lang w:val="en-US"/>
              </w:rPr>
              <w:t>RAN4 to discuss whether to take TTT (time to trigger) into account in the L1 event-triggered reporting delay requirements once more agreements from RAN1/2 are available.</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 xml:space="preserve"> (Nokia, Xiaomi)</w:t>
            </w:r>
          </w:p>
          <w:p w14:paraId="2E884C7D">
            <w:pPr>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&lt;Recommended WF&gt;</w:t>
            </w:r>
          </w:p>
          <w:p w14:paraId="5ABFE75C">
            <w:pPr>
              <w:pStyle w:val="14"/>
              <w:numPr>
                <w:ilvl w:val="0"/>
                <w:numId w:val="4"/>
              </w:numPr>
              <w:spacing w:after="120"/>
              <w:ind w:firstLineChars="0"/>
              <w:rPr>
                <w:rFonts w:hint="default" w:ascii="Times New Roman" w:hAnsi="Times New Roman" w:cs="Times New Roman"/>
                <w:sz w:val="20"/>
                <w:szCs w:val="20"/>
                <w:highlight w:val="none"/>
                <w:vertAlign w:val="baseline"/>
                <w:lang w:val="en-US" w:eastAsia="zh-CN"/>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Continue discussion.</w:t>
            </w:r>
          </w:p>
        </w:tc>
      </w:tr>
    </w:tbl>
    <w:p w14:paraId="0F093FC7">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p>
    <w:p w14:paraId="253FF7C4">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event triggered L1 reporting requirements, in last meeting, it was agreed that the starting point is the time when a condition exists at the UE which will trigger the reporting, and the ending point is the  the point when the UE starts to transmit the first UL transmission to report measurement result over the air interface. The definition is similar as that for legacy L3 measurement reporting.</w:t>
      </w:r>
    </w:p>
    <w:p w14:paraId="01DC4850">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lang w:val="en-US" w:eastAsia="zh-CN"/>
        </w:rPr>
        <w:t>We do not see the necessity to take TTT (</w:t>
      </w:r>
      <w:r>
        <w:rPr>
          <w:rFonts w:hint="default" w:ascii="Times New Roman" w:hAnsi="Times New Roman" w:cs="Times New Roman"/>
          <w:sz w:val="20"/>
          <w:szCs w:val="20"/>
          <w:highlight w:val="none"/>
          <w:lang w:val="en-US"/>
        </w:rPr>
        <w:t>time to trigger</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highlight w:val="none"/>
          <w:lang w:val="en-US"/>
        </w:rPr>
        <w:t>into account in the L1 event-triggered reporting delay requirements</w:t>
      </w:r>
      <w:r>
        <w:rPr>
          <w:rFonts w:hint="eastAsia" w:ascii="Times New Roman" w:hAnsi="Times New Roman" w:cs="Times New Roman"/>
          <w:sz w:val="20"/>
          <w:szCs w:val="20"/>
          <w:highlight w:val="none"/>
          <w:lang w:val="en-US" w:eastAsia="zh-CN"/>
        </w:rPr>
        <w:t xml:space="preserve">. In one hand, </w:t>
      </w:r>
      <w:r>
        <w:rPr>
          <w:rFonts w:hint="eastAsia" w:ascii="Times New Roman" w:hAnsi="Times New Roman" w:cs="Times New Roman"/>
          <w:sz w:val="20"/>
          <w:szCs w:val="20"/>
          <w:lang w:val="en-US" w:eastAsia="zh-CN"/>
        </w:rPr>
        <w:t>TTT has no impact on L1 filtering, since TTT is the time during which specific criteria for the event needs to be met in order to trigger a measurement report. On the other hand, TTT is not considered i</w:t>
      </w:r>
      <w:r>
        <w:rPr>
          <w:rFonts w:hint="default" w:ascii="Times New Roman" w:hAnsi="Times New Roman" w:cs="Times New Roman"/>
          <w:sz w:val="20"/>
          <w:szCs w:val="20"/>
          <w:highlight w:val="none"/>
          <w:lang w:val="en-US"/>
        </w:rPr>
        <w:t xml:space="preserve">n </w:t>
      </w:r>
      <w:r>
        <w:rPr>
          <w:rFonts w:hint="eastAsia" w:ascii="Times New Roman" w:hAnsi="Times New Roman" w:cs="Times New Roman"/>
          <w:sz w:val="20"/>
          <w:szCs w:val="20"/>
          <w:highlight w:val="none"/>
          <w:lang w:val="en-US" w:eastAsia="zh-CN"/>
        </w:rPr>
        <w:t xml:space="preserve">legacy </w:t>
      </w:r>
      <w:r>
        <w:rPr>
          <w:rFonts w:hint="default" w:ascii="Times New Roman" w:hAnsi="Times New Roman" w:cs="Times New Roman"/>
          <w:sz w:val="20"/>
          <w:szCs w:val="20"/>
          <w:highlight w:val="none"/>
          <w:lang w:val="en-US"/>
        </w:rPr>
        <w:t>L</w:t>
      </w:r>
      <w:r>
        <w:rPr>
          <w:rFonts w:hint="eastAsia" w:ascii="Times New Roman" w:hAnsi="Times New Roman" w:cs="Times New Roman"/>
          <w:sz w:val="20"/>
          <w:szCs w:val="20"/>
          <w:highlight w:val="none"/>
          <w:lang w:val="en-US" w:eastAsia="zh-CN"/>
        </w:rPr>
        <w:t>3</w:t>
      </w:r>
      <w:r>
        <w:rPr>
          <w:rFonts w:hint="default" w:ascii="Times New Roman" w:hAnsi="Times New Roman" w:cs="Times New Roman"/>
          <w:sz w:val="20"/>
          <w:szCs w:val="20"/>
          <w:highlight w:val="none"/>
          <w:lang w:val="en-US"/>
        </w:rPr>
        <w:t xml:space="preserve"> event-triggered reporting delay requirements</w:t>
      </w:r>
      <w:r>
        <w:rPr>
          <w:rFonts w:hint="eastAsia" w:ascii="Times New Roman" w:hAnsi="Times New Roman" w:cs="Times New Roman"/>
          <w:sz w:val="20"/>
          <w:szCs w:val="20"/>
          <w:highlight w:val="none"/>
          <w:lang w:val="en-US" w:eastAsia="zh-CN"/>
        </w:rPr>
        <w:t>, similar approach can be used for L1.</w:t>
      </w:r>
    </w:p>
    <w:p w14:paraId="7288F63F">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highlight w:val="none"/>
          <w:lang w:val="en-US" w:eastAsia="zh-CN"/>
        </w:rPr>
        <w:t xml:space="preserve">Proposal 1: it is not necessary to consider TTT </w:t>
      </w:r>
      <w:r>
        <w:rPr>
          <w:rFonts w:hint="default" w:ascii="Times New Roman" w:hAnsi="Times New Roman" w:cs="Times New Roman"/>
          <w:b/>
          <w:bCs/>
          <w:i/>
          <w:iCs/>
          <w:sz w:val="20"/>
          <w:szCs w:val="20"/>
          <w:highlight w:val="none"/>
          <w:lang w:val="en-US"/>
        </w:rPr>
        <w:t>in the L1 event-triggered reporting delay requirements</w:t>
      </w:r>
      <w:r>
        <w:rPr>
          <w:rFonts w:hint="eastAsia" w:ascii="Times New Roman" w:hAnsi="Times New Roman" w:cs="Times New Roman"/>
          <w:b/>
          <w:bCs/>
          <w:i/>
          <w:iCs/>
          <w:sz w:val="20"/>
          <w:szCs w:val="20"/>
          <w:highlight w:val="none"/>
          <w:lang w:val="en-US" w:eastAsia="zh-CN"/>
        </w:rPr>
        <w:t xml:space="preserve">, similar as that for legacy </w:t>
      </w:r>
      <w:r>
        <w:rPr>
          <w:rFonts w:hint="default" w:ascii="Times New Roman" w:hAnsi="Times New Roman" w:cs="Times New Roman"/>
          <w:b/>
          <w:bCs/>
          <w:i/>
          <w:iCs/>
          <w:sz w:val="20"/>
          <w:szCs w:val="20"/>
          <w:highlight w:val="none"/>
          <w:lang w:val="en-US"/>
        </w:rPr>
        <w:t>L</w:t>
      </w:r>
      <w:r>
        <w:rPr>
          <w:rFonts w:hint="eastAsia" w:ascii="Times New Roman" w:hAnsi="Times New Roman" w:cs="Times New Roman"/>
          <w:b/>
          <w:bCs/>
          <w:i/>
          <w:iCs/>
          <w:sz w:val="20"/>
          <w:szCs w:val="20"/>
          <w:highlight w:val="none"/>
          <w:lang w:val="en-US" w:eastAsia="zh-CN"/>
        </w:rPr>
        <w:t>3</w:t>
      </w:r>
      <w:r>
        <w:rPr>
          <w:rFonts w:hint="default" w:ascii="Times New Roman" w:hAnsi="Times New Roman" w:cs="Times New Roman"/>
          <w:b/>
          <w:bCs/>
          <w:i/>
          <w:iCs/>
          <w:sz w:val="20"/>
          <w:szCs w:val="20"/>
          <w:highlight w:val="none"/>
          <w:lang w:val="en-US"/>
        </w:rPr>
        <w:t xml:space="preserve"> event-triggered reporting delay requirements</w:t>
      </w:r>
      <w:r>
        <w:rPr>
          <w:rFonts w:hint="eastAsia" w:ascii="Times New Roman" w:hAnsi="Times New Roman" w:cs="Times New Roman"/>
          <w:b/>
          <w:bCs/>
          <w:i/>
          <w:iCs/>
          <w:sz w:val="20"/>
          <w:szCs w:val="20"/>
          <w:highlight w:val="none"/>
          <w:lang w:val="en-US" w:eastAsia="zh-CN"/>
        </w:rPr>
        <w:t>.</w:t>
      </w:r>
      <w:r>
        <w:rPr>
          <w:rFonts w:hint="eastAsia" w:ascii="Times New Roman" w:hAnsi="Times New Roman" w:cs="Times New Roman"/>
          <w:b/>
          <w:bCs/>
          <w:i/>
          <w:iCs/>
          <w:sz w:val="20"/>
          <w:szCs w:val="20"/>
          <w:lang w:val="en-US" w:eastAsia="zh-CN"/>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BA32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0572431">
            <w:pPr>
              <w:pStyle w:val="5"/>
              <w:numPr>
                <w:ilvl w:val="0"/>
                <w:numId w:val="0"/>
              </w:numPr>
              <w:tabs>
                <w:tab w:val="left" w:pos="432"/>
                <w:tab w:val="clear" w:pos="864"/>
              </w:tabs>
              <w:rPr>
                <w:rFonts w:hint="default" w:ascii="Times New Roman" w:hAnsi="Times New Roman" w:cs="Times New Roman"/>
                <w:b/>
                <w:bCs/>
                <w:sz w:val="20"/>
                <w:szCs w:val="20"/>
                <w:highlight w:val="none"/>
                <w:lang w:val="en-US"/>
              </w:rPr>
            </w:pPr>
            <w:r>
              <w:rPr>
                <w:rFonts w:hint="default" w:ascii="Times New Roman" w:hAnsi="Times New Roman" w:cs="Times New Roman"/>
                <w:b/>
                <w:bCs/>
                <w:sz w:val="20"/>
                <w:szCs w:val="20"/>
                <w:highlight w:val="none"/>
                <w:lang w:val="en-US"/>
              </w:rPr>
              <w:t>Issue 2-7: whether to introduce/update requirements for reporting criteria per measurement category</w:t>
            </w:r>
          </w:p>
          <w:p w14:paraId="29EC1DB0">
            <w:pPr>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&lt;Candidate options&gt;</w:t>
            </w:r>
          </w:p>
          <w:p w14:paraId="609EFCDD">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1: Yes (CATT, MTK, ZTE</w:t>
            </w:r>
            <w:r>
              <w:rPr>
                <w:rFonts w:hint="default" w:ascii="Times New Roman" w:hAnsi="Times New Roman" w:eastAsia="宋体" w:cs="Times New Roman"/>
                <w:color w:val="000000" w:themeColor="text1"/>
                <w:sz w:val="20"/>
                <w:szCs w:val="20"/>
                <w:highlight w:val="none"/>
                <w:lang w:val="en-US" w:eastAsia="zh-CN"/>
                <w14:textFill>
                  <w14:solidFill>
                    <w14:schemeClr w14:val="tx1"/>
                  </w14:solidFill>
                </w14:textFill>
              </w:rPr>
              <w:t>, Apple, OPPO</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w:t>
            </w:r>
          </w:p>
          <w:p w14:paraId="4E5784B9">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2: RAN4 to postpone the detailed discussion on ‘Requirements for reporting criteria per measurement category’ until the RRM requirements on the remaining issues are sorted out (QC, Ericsson)</w:t>
            </w:r>
          </w:p>
          <w:p w14:paraId="0E8B9044">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eastAsia="zh-CN"/>
                <w14:textFill>
                  <w14:solidFill>
                    <w14:schemeClr w14:val="tx1"/>
                  </w14:solidFill>
                </w14:textFill>
              </w:rPr>
              <w:t>Option 3: RAN4 to align common understanding that the existing number of reporting criteria per category is defined for L3 measurement and reporting only. For L1 measurements, the number of events to be supported by UE shall be discussed in RAN1 first. (vivo)</w:t>
            </w:r>
          </w:p>
          <w:p w14:paraId="0501821C">
            <w:pPr>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&lt;Recommended WF&gt;</w:t>
            </w:r>
          </w:p>
          <w:p w14:paraId="4B68E116">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Continue discussion.</w:t>
            </w:r>
          </w:p>
          <w:p w14:paraId="14F6C7C7">
            <w:pPr>
              <w:rPr>
                <w:rFonts w:hint="default" w:ascii="Times New Roman" w:hAnsi="Times New Roman" w:cs="Times New Roman"/>
                <w:sz w:val="20"/>
                <w:szCs w:val="20"/>
                <w:highlight w:val="none"/>
                <w:lang w:val="en-US" w:eastAsia="zh-CN"/>
              </w:rPr>
            </w:pPr>
          </w:p>
          <w:p w14:paraId="5A5ADDE1">
            <w:pPr>
              <w:pStyle w:val="5"/>
              <w:numPr>
                <w:ilvl w:val="0"/>
                <w:numId w:val="0"/>
              </w:numPr>
              <w:tabs>
                <w:tab w:val="left" w:pos="432"/>
                <w:tab w:val="clear" w:pos="864"/>
              </w:tabs>
              <w:rPr>
                <w:rFonts w:hint="default" w:ascii="Times New Roman" w:hAnsi="Times New Roman" w:cs="Times New Roman"/>
                <w:b/>
                <w:bCs/>
                <w:sz w:val="20"/>
                <w:szCs w:val="20"/>
                <w:highlight w:val="none"/>
                <w:lang w:val="en-US"/>
              </w:rPr>
            </w:pPr>
            <w:r>
              <w:rPr>
                <w:rFonts w:hint="default" w:ascii="Times New Roman" w:hAnsi="Times New Roman" w:cs="Times New Roman"/>
                <w:b/>
                <w:bCs/>
                <w:sz w:val="20"/>
                <w:szCs w:val="20"/>
                <w:highlight w:val="none"/>
                <w:lang w:val="en-US"/>
              </w:rPr>
              <w:t xml:space="preserve">Issue 2-8: whether to define a </w:t>
            </w:r>
            <w:r>
              <w:rPr>
                <w:rFonts w:hint="default" w:ascii="Times New Roman" w:hAnsi="Times New Roman" w:cs="Times New Roman"/>
                <w:b/>
                <w:bCs/>
                <w:color w:val="000000" w:themeColor="text1"/>
                <w:sz w:val="20"/>
                <w:szCs w:val="20"/>
                <w:highlight w:val="none"/>
                <w:lang w:val="en-US"/>
                <w14:textFill>
                  <w14:solidFill>
                    <w14:schemeClr w14:val="tx1"/>
                  </w14:solidFill>
                </w14:textFill>
              </w:rPr>
              <w:t>separate capability for supported number of events triggered L1 measurement reporting</w:t>
            </w:r>
          </w:p>
          <w:p w14:paraId="3440C485">
            <w:pPr>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&lt;Candidate options&gt;</w:t>
            </w:r>
          </w:p>
          <w:p w14:paraId="51614B6A">
            <w:pPr>
              <w:pStyle w:val="14"/>
              <w:numPr>
                <w:ilvl w:val="0"/>
                <w:numId w:val="4"/>
              </w:numPr>
              <w:spacing w:after="120"/>
              <w:ind w:firstLineChars="0"/>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Option 1: Yes (MTK, Samsung, CMCC)</w:t>
            </w:r>
          </w:p>
          <w:p w14:paraId="1C970AEF">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2: RAN4 to postpone the detailed discussion on ‘Requirements for reporting criteria per measurement category’ until the RRM requirements on the remaining issues are sorted out (QC)</w:t>
            </w:r>
          </w:p>
          <w:p w14:paraId="698B3C1A">
            <w:pPr>
              <w:pStyle w:val="14"/>
              <w:numPr>
                <w:ilvl w:val="1"/>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2a: RAN4 to wait for RAN2 progress on the TTT handling before discussing the UE capability of number of events to support. (E///)</w:t>
            </w:r>
          </w:p>
          <w:p w14:paraId="1D8DA403">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3: RAN4 to align common understanding that the existing number of reporting criteria per category is defined for L3 measurement and reporting only. For L1 measurements, the number of events to be supported by UE shall be discussed in RAN1 first. (vivo)</w:t>
            </w:r>
          </w:p>
          <w:p w14:paraId="49AD01AF">
            <w:pPr>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&lt;Recommended WF&gt;</w:t>
            </w:r>
          </w:p>
          <w:p w14:paraId="3F105F98">
            <w:pPr>
              <w:pStyle w:val="14"/>
              <w:numPr>
                <w:ilvl w:val="0"/>
                <w:numId w:val="4"/>
              </w:numPr>
              <w:spacing w:after="120"/>
              <w:ind w:firstLineChars="0"/>
              <w:rPr>
                <w:rFonts w:hint="default" w:ascii="Times New Roman" w:hAnsi="Times New Roman" w:cs="Times New Roman"/>
                <w:sz w:val="20"/>
                <w:szCs w:val="20"/>
                <w:highlight w:val="none"/>
                <w:vertAlign w:val="baseline"/>
                <w:lang w:val="en-US" w:eastAsia="zh-CN"/>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Continue discussion.</w:t>
            </w:r>
          </w:p>
          <w:p w14:paraId="5E3D2DF6">
            <w:pPr>
              <w:pStyle w:val="14"/>
              <w:numPr>
                <w:ilvl w:val="0"/>
                <w:numId w:val="0"/>
              </w:numPr>
              <w:spacing w:after="120"/>
              <w:ind w:left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p>
          <w:p w14:paraId="24E30411">
            <w:pPr>
              <w:pStyle w:val="5"/>
              <w:numPr>
                <w:ilvl w:val="0"/>
                <w:numId w:val="0"/>
              </w:numPr>
              <w:tabs>
                <w:tab w:val="left" w:pos="432"/>
                <w:tab w:val="clear" w:pos="864"/>
              </w:tabs>
              <w:rPr>
                <w:rFonts w:hint="default" w:ascii="Times New Roman" w:hAnsi="Times New Roman" w:cs="Times New Roman"/>
                <w:b/>
                <w:bCs/>
                <w:sz w:val="20"/>
                <w:szCs w:val="20"/>
                <w:highlight w:val="none"/>
                <w:lang w:val="en-US"/>
              </w:rPr>
            </w:pPr>
            <w:r>
              <w:rPr>
                <w:rFonts w:hint="default" w:ascii="Times New Roman" w:hAnsi="Times New Roman" w:cs="Times New Roman"/>
                <w:b/>
                <w:bCs/>
                <w:sz w:val="20"/>
                <w:szCs w:val="20"/>
                <w:highlight w:val="none"/>
                <w:lang w:val="en-US"/>
              </w:rPr>
              <w:t>Issue 2-9: how to define requirements for reporting criteria per measurement category</w:t>
            </w:r>
          </w:p>
          <w:p w14:paraId="6A20722C">
            <w:pPr>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&lt;Candidate options&gt;</w:t>
            </w:r>
          </w:p>
          <w:p w14:paraId="41808537">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Proposal 1: For the requirements for reporting criteria per measurement category, whether ‘SS-RSRP and CSI-RSRP’ in current description include both L1-RSRP and L3 RSRP should be clarified. (CATT)</w:t>
            </w:r>
          </w:p>
          <w:p w14:paraId="7A8373E8">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 xml:space="preserve">Proposal 2: </w:t>
            </w: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RAN4 may not need to additionally emphasize and add L1-RSRP separately for measurement category of intra-frequency and inter-frequency. (CATT)</w:t>
            </w:r>
          </w:p>
          <w:p w14:paraId="20027ED3">
            <w:pPr>
              <w:pStyle w:val="14"/>
              <w:numPr>
                <w:ilvl w:val="0"/>
                <w:numId w:val="4"/>
              </w:numPr>
              <w:spacing w:after="120"/>
              <w:ind w:firstLineChars="0"/>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Proposal 3: (MTK)</w:t>
            </w:r>
          </w:p>
          <w:p w14:paraId="1AC81B94">
            <w:pPr>
              <w:pStyle w:val="14"/>
              <w:numPr>
                <w:ilvl w:val="1"/>
                <w:numId w:val="4"/>
              </w:numPr>
              <w:spacing w:after="120"/>
              <w:ind w:firstLineChars="0"/>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For SSB based event triggered L1-RSRP measurement reporting, regard the events related to different candidate cells on different frequency layers as different events. Discuss how to differentiate intra-frequency and inter-frequency events. Further discuss the following options:</w:t>
            </w:r>
          </w:p>
          <w:p w14:paraId="09D6B5B7">
            <w:pPr>
              <w:pStyle w:val="14"/>
              <w:numPr>
                <w:ilvl w:val="2"/>
                <w:numId w:val="4"/>
              </w:numPr>
              <w:spacing w:after="120"/>
              <w:ind w:firstLineChars="0"/>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Option 1: if the LTM-CSI-ReportConfig is linked to multiple cells on different frequency layer, then the number of events related to this LTM-CSI-ReportConfig should be counted no less than the number of frequency layers.</w:t>
            </w:r>
          </w:p>
          <w:p w14:paraId="0D05E2C2">
            <w:pPr>
              <w:pStyle w:val="14"/>
              <w:numPr>
                <w:ilvl w:val="2"/>
                <w:numId w:val="4"/>
              </w:numPr>
              <w:spacing w:after="120"/>
              <w:ind w:firstLineChars="0"/>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Option 2: inform RAN2 that the events related to different candidate cells on different frequency layers are regarded as different events and ask RAN2 to take this into consideration when design the signaling.</w:t>
            </w:r>
          </w:p>
          <w:p w14:paraId="35D8E593">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eastAsia="zh-CN"/>
                <w14:textFill>
                  <w14:solidFill>
                    <w14:schemeClr w14:val="tx1"/>
                  </w14:solidFill>
                </w14:textFill>
              </w:rPr>
              <w:t xml:space="preserve">Proposal 4: </w:t>
            </w:r>
            <w:r>
              <w:rPr>
                <w:rFonts w:hint="default" w:ascii="Times New Roman" w:hAnsi="Times New Roman" w:eastAsia="宋体" w:cs="Times New Roman"/>
                <w:bCs/>
                <w:color w:val="000000" w:themeColor="text1"/>
                <w:sz w:val="20"/>
                <w:szCs w:val="20"/>
                <w:highlight w:val="none"/>
                <w:lang w:val="en-US" w:eastAsia="zh-CN"/>
                <w14:textFill>
                  <w14:solidFill>
                    <w14:schemeClr w14:val="tx1"/>
                  </w14:solidFill>
                </w14:textFill>
              </w:rPr>
              <w:t>Regarding whether to count LTM event in a per-layer basis, RAN4 shall wait for further RAN1/2 conclusions regarding the detailed resource configuration for event-triggered L1-RSRP reporting in R19 LTM. (vivo)</w:t>
            </w:r>
          </w:p>
          <w:p w14:paraId="5CEBFB9D">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Proposal 5: RAN4 to postpone the detailed discussion on ‘Requirements for reporting criteria per measurement category’ until the RRM requirements on the remaining issues are sorted out (QC)</w:t>
            </w:r>
          </w:p>
          <w:p w14:paraId="64208D40">
            <w:pPr>
              <w:pStyle w:val="14"/>
              <w:numPr>
                <w:ilvl w:val="0"/>
                <w:numId w:val="4"/>
              </w:numPr>
              <w:spacing w:after="120"/>
              <w:ind w:firstLineChars="0"/>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 xml:space="preserve">Proposal 6: </w:t>
            </w: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RAN4 to agree that Ecat capability is not shared between  L3 events and LTM L1 events. (E///)</w:t>
            </w:r>
          </w:p>
          <w:p w14:paraId="57564EF1">
            <w:pPr>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&lt;Recommended WF&gt;</w:t>
            </w:r>
          </w:p>
          <w:p w14:paraId="3296CEF6">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Continue discussion.</w:t>
            </w:r>
          </w:p>
        </w:tc>
      </w:tr>
    </w:tbl>
    <w:p w14:paraId="605D2815">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p>
    <w:p w14:paraId="6E2554CF">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cs="Times New Roman"/>
          <w:sz w:val="20"/>
          <w:szCs w:val="20"/>
          <w:lang w:val="en-US" w:eastAsia="zh-CN"/>
        </w:rPr>
        <w:t xml:space="preserve">For legacy event triggered L3 measurement reporting, the capabilities for support of event triggering reporting criteria are defined (section 9.1.4, TS38.133). Similarly, for Rel-19 event triggered L1 measurement reporting, it is necessary to define the capability. According to the discussion in last meeting, some companies mentioned that </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the number of events to be supported by UE shall be discussed in RAN1 first.</w:t>
      </w:r>
      <w:r>
        <w:rPr>
          <w:rFonts w:hint="eastAsia" w:ascii="Times New Roman" w:hAnsi="Times New Roman" w:cs="Times New Roman"/>
          <w:color w:val="000000" w:themeColor="text1"/>
          <w:sz w:val="20"/>
          <w:szCs w:val="20"/>
          <w:highlight w:val="none"/>
          <w:lang w:val="en-US" w:eastAsia="zh-CN"/>
          <w14:textFill>
            <w14:solidFill>
              <w14:schemeClr w14:val="tx1"/>
            </w14:solidFill>
          </w14:textFill>
        </w:rPr>
        <w:t xml:space="preserve"> We do not have strong view. But at least according to our knowledge, RAN1 have not discussed this. Considering that reporting criteria for L3 are specified in RAN4, it is preferred to define the reporting criteria for L1 in RAN4.</w:t>
      </w:r>
    </w:p>
    <w:p w14:paraId="41FB52D3">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Proposal 2: it is proposed to define </w:t>
      </w:r>
      <w:r>
        <w:rPr>
          <w:rFonts w:hint="eastAsia" w:ascii="Times New Roman" w:hAnsi="Times New Roman" w:cs="Times New Roman"/>
          <w:b/>
          <w:bCs/>
          <w:i/>
          <w:iCs/>
          <w:sz w:val="20"/>
          <w:szCs w:val="20"/>
          <w:lang w:val="en-US" w:eastAsia="zh-CN"/>
        </w:rPr>
        <w:t>capabilities for support of event triggering L1 measurement reporting.</w:t>
      </w: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 </w:t>
      </w:r>
      <w:r>
        <w:rPr>
          <w:rFonts w:hint="eastAsia" w:ascii="Times New Roman" w:hAnsi="Times New Roman" w:cs="Times New Roman"/>
          <w:b/>
          <w:bCs/>
          <w:i/>
          <w:iCs/>
          <w:sz w:val="20"/>
          <w:szCs w:val="20"/>
          <w:lang w:val="en-US" w:eastAsia="zh-CN"/>
        </w:rPr>
        <w:t xml:space="preserve">  </w:t>
      </w:r>
    </w:p>
    <w:p w14:paraId="4395C528">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As for how to define the capabilities for support of event triggering L1 measurement reporting, in our view, a seperate capability is prefered. It is not a good way to replace or update legacy capability for event triggered L3 measurement reporting. For Rel-18 LTM measurement, the requirements are applied with the condition that the cell is known, which means that L3 measurement need to be configured. And also, network may adjust LTM configuration based on L3 measurement report.</w:t>
      </w:r>
    </w:p>
    <w:p w14:paraId="53FC52A5">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3: to avoid the impact on L3 measurement reporting, it is proposed to define a separate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capability for supported number of events triggered L1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55D3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CCF72A8">
            <w:pPr>
              <w:pStyle w:val="5"/>
              <w:numPr>
                <w:ilvl w:val="0"/>
                <w:numId w:val="0"/>
              </w:numPr>
              <w:tabs>
                <w:tab w:val="left" w:pos="432"/>
                <w:tab w:val="clear" w:pos="864"/>
              </w:tabs>
              <w:rPr>
                <w:rFonts w:hint="default" w:ascii="Times New Roman" w:hAnsi="Times New Roman" w:cs="Times New Roman"/>
                <w:b/>
                <w:bCs/>
                <w:sz w:val="20"/>
                <w:szCs w:val="20"/>
                <w:highlight w:val="none"/>
                <w:lang w:val="en-US"/>
              </w:rPr>
            </w:pPr>
            <w:r>
              <w:rPr>
                <w:rFonts w:hint="default" w:ascii="Times New Roman" w:hAnsi="Times New Roman" w:cs="Times New Roman"/>
                <w:b/>
                <w:bCs/>
                <w:sz w:val="20"/>
                <w:szCs w:val="20"/>
                <w:highlight w:val="none"/>
                <w:lang w:val="en-US"/>
              </w:rPr>
              <w:t>Issue 2-10: whether and how to coordinate with R19 MIMO</w:t>
            </w:r>
          </w:p>
          <w:p w14:paraId="4ECF6130">
            <w:pPr>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&lt;Candidate options&gt;</w:t>
            </w:r>
          </w:p>
          <w:p w14:paraId="5370CFCA">
            <w:pPr>
              <w:pStyle w:val="14"/>
              <w:numPr>
                <w:ilvl w:val="0"/>
                <w:numId w:val="4"/>
              </w:numPr>
              <w:spacing w:after="120"/>
              <w:ind w:firstLineChars="0"/>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Option 1: (MTK)</w:t>
            </w:r>
          </w:p>
          <w:p w14:paraId="29E05658">
            <w:pPr>
              <w:pStyle w:val="14"/>
              <w:numPr>
                <w:ilvl w:val="1"/>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Events configured for mobility and MIMO should be considered as different events even when they are configured for the same beams and the same cell with the same threshold.</w:t>
            </w:r>
          </w:p>
          <w:p w14:paraId="1E5D3F45">
            <w:pPr>
              <w:pStyle w:val="14"/>
              <w:numPr>
                <w:ilvl w:val="1"/>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Define the capability for L1 events shared by mobility L1 events and MIMO L1 events.</w:t>
            </w:r>
          </w:p>
          <w:p w14:paraId="7A50F09C">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Optoin 2: Define separate capabilities for MIMO and mobility. (Samsung, CMCC, Apple)</w:t>
            </w:r>
          </w:p>
          <w:p w14:paraId="0E2B99DE">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3: Discuss the coordination between LTM and MIMO events at the end of the Wis. (Nokia)</w:t>
            </w:r>
          </w:p>
          <w:p w14:paraId="08F0C780">
            <w:pPr>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&lt;Recommended WF&gt;</w:t>
            </w:r>
          </w:p>
          <w:p w14:paraId="62AD22AB">
            <w:pPr>
              <w:pStyle w:val="14"/>
              <w:numPr>
                <w:ilvl w:val="0"/>
                <w:numId w:val="4"/>
              </w:numPr>
              <w:spacing w:after="120"/>
              <w:ind w:firstLineChars="0"/>
              <w:rPr>
                <w:rFonts w:hint="default" w:ascii="Times New Roman" w:hAnsi="Times New Roman" w:cs="Times New Roman"/>
                <w:sz w:val="20"/>
                <w:szCs w:val="20"/>
                <w:highlight w:val="none"/>
                <w:vertAlign w:val="baseline"/>
                <w:lang w:val="en-US" w:eastAsia="zh-CN"/>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Continue discussion.</w:t>
            </w:r>
          </w:p>
        </w:tc>
      </w:tr>
    </w:tbl>
    <w:p w14:paraId="742CA716">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p>
    <w:p w14:paraId="6CA4C5F6">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Event triggered L1 measurement reporting are considered for both Rel-19 MIMO and Rel-19 Mobility. However, considering that Rel-19 MIMO and Rel-19 Mobility are two parallel on-going work item, it is not prefered to mix the discussion.  </w:t>
      </w:r>
    </w:p>
    <w:p w14:paraId="15E62F42">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4: it is not prefered to mix Rel-19 mobility and Rel-19 MIMO. The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capability for supported number of events triggered L1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is defined seperately for </w:t>
      </w:r>
      <w:r>
        <w:rPr>
          <w:rFonts w:hint="eastAsia" w:ascii="Times New Roman" w:hAnsi="Times New Roman" w:cs="Times New Roman"/>
          <w:b/>
          <w:bCs/>
          <w:i/>
          <w:iCs/>
          <w:sz w:val="20"/>
          <w:szCs w:val="20"/>
          <w:lang w:val="en-US" w:eastAsia="zh-CN"/>
        </w:rPr>
        <w:t>Rel-19 mobility and Rel-19 MIMO.</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5C48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3E0FA0E">
            <w:pPr>
              <w:pStyle w:val="5"/>
              <w:numPr>
                <w:ilvl w:val="0"/>
                <w:numId w:val="0"/>
              </w:numPr>
              <w:tabs>
                <w:tab w:val="left" w:pos="432"/>
                <w:tab w:val="clear" w:pos="864"/>
              </w:tabs>
              <w:rPr>
                <w:rFonts w:hint="default" w:ascii="Times New Roman" w:hAnsi="Times New Roman" w:cs="Times New Roman"/>
                <w:b/>
                <w:bCs/>
                <w:sz w:val="20"/>
                <w:szCs w:val="20"/>
                <w:highlight w:val="none"/>
                <w:lang w:val="en-US"/>
              </w:rPr>
            </w:pPr>
            <w:r>
              <w:rPr>
                <w:rFonts w:hint="default" w:ascii="Times New Roman" w:hAnsi="Times New Roman" w:cs="Times New Roman"/>
                <w:b/>
                <w:bCs/>
                <w:sz w:val="20"/>
                <w:szCs w:val="20"/>
                <w:highlight w:val="none"/>
                <w:lang w:val="en-US"/>
              </w:rPr>
              <w:t>Issue 2-11: L1 filtering assumption in event evaluation</w:t>
            </w:r>
          </w:p>
          <w:p w14:paraId="6A8F1CE9">
            <w:pPr>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&lt;Candidate options&gt;</w:t>
            </w:r>
          </w:p>
          <w:p w14:paraId="324A8390">
            <w:pPr>
              <w:pStyle w:val="14"/>
              <w:numPr>
                <w:ilvl w:val="0"/>
                <w:numId w:val="4"/>
              </w:numPr>
              <w:spacing w:after="120"/>
              <w:ind w:firstLineChars="0"/>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Option 1: For whether to consider the RRM impact due to L1 filtering for event triggered L1 report, RAN4 needs to wait for more RAN1 input. (CATT, ZTE, CTC, E///)</w:t>
            </w:r>
          </w:p>
          <w:p w14:paraId="6FA5FEB5">
            <w:pPr>
              <w:pStyle w:val="14"/>
              <w:numPr>
                <w:ilvl w:val="1"/>
                <w:numId w:val="4"/>
              </w:numPr>
              <w:spacing w:after="120"/>
              <w:ind w:firstLineChars="0"/>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If L1 filtering is introduced in RAN1, RAN4 needs to define additional SSB based L1 measurement delay requirements with filtering for event triggered L1 report.</w:t>
            </w:r>
          </w:p>
          <w:p w14:paraId="4E2945F6">
            <w:pPr>
              <w:pStyle w:val="14"/>
              <w:numPr>
                <w:ilvl w:val="1"/>
                <w:numId w:val="4"/>
              </w:numPr>
              <w:spacing w:after="120"/>
              <w:ind w:firstLineChars="0"/>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Otherwise, there is no impact on RAN4.</w:t>
            </w:r>
          </w:p>
          <w:p w14:paraId="206DD0E6">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2: In event triggered L1 measurement in mobility, do not consider L1 filter for requirements. (Samsung, Xiaomi, CMCC, Apple, HW)</w:t>
            </w:r>
          </w:p>
          <w:p w14:paraId="0ED57196">
            <w:pPr>
              <w:pStyle w:val="14"/>
              <w:numPr>
                <w:ilvl w:val="1"/>
                <w:numId w:val="4"/>
              </w:numPr>
              <w:spacing w:after="120"/>
              <w:ind w:firstLineChars="0"/>
              <w:rPr>
                <w:rFonts w:hint="default" w:ascii="Times New Roman" w:hAnsi="Times New Roman" w:cs="Times New Roman"/>
                <w:sz w:val="20"/>
                <w:szCs w:val="20"/>
                <w:highlight w:val="none"/>
                <w:vertAlign w:val="baseline"/>
                <w:lang w:val="en-US" w:eastAsia="zh-CN"/>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2a: RAN4 to define RRM requirements for the event triggered L1 report with the assumption of no specific L1 filtering. This decision can be revisited if other working groups overturn their decision on L1 filtering. (QC)</w:t>
            </w:r>
          </w:p>
        </w:tc>
      </w:tr>
    </w:tbl>
    <w:p w14:paraId="1F0FB334">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p>
    <w:p w14:paraId="319844E4">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In RAN2 #126 meeting, it was agreed that RAN2 assumes filtering of the L1 measure results is needed. It</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s up to RAN1 whether the specified L1 filtering is needed or ok to leave it to UE implementation. In our initial interpretention, RAN2 agreements is about the layer 3 filtering for the measured results with filter coefficient k, as defined in Clause 5.5.3.2, TS38.331. Accoring to RAN1 discussion in , most companies propose to use Time-to-Trigger (TTT), where the UE is configured to observe whether the evaluated criteria are fulfilled for the duration of the TTT (e.g., LTM 3). It can be seen that none of the solutions are related with how UE get the measurement results, based 1 sample or muptiple samples. In our understanding, no need to define additional SSB based L1 measurement delay requirements with filtering. But we are also fine to wait for </w:t>
      </w:r>
      <w:r>
        <w:rPr>
          <w:rFonts w:hint="default" w:ascii="Times New Roman" w:hAnsi="Times New Roman" w:eastAsia="宋体" w:cs="Times New Roman"/>
          <w:bCs/>
          <w:color w:val="000000" w:themeColor="text1"/>
          <w:sz w:val="20"/>
          <w:szCs w:val="20"/>
          <w:lang w:val="en-US"/>
          <w14:textFill>
            <w14:solidFill>
              <w14:schemeClr w14:val="tx1"/>
            </w14:solidFill>
          </w14:textFill>
        </w:rPr>
        <w:t>more RAN1 progress</w:t>
      </w:r>
      <w:r>
        <w:rPr>
          <w:rFonts w:hint="eastAsia" w:ascii="Times New Roman" w:hAnsi="Times New Roman" w:cs="Times New Roman"/>
          <w:bCs/>
          <w:color w:val="000000" w:themeColor="text1"/>
          <w:sz w:val="20"/>
          <w:szCs w:val="20"/>
          <w:lang w:val="en-US" w:eastAsia="zh-CN"/>
          <w14:textFill>
            <w14:solidFill>
              <w14:schemeClr w14:val="tx1"/>
            </w14:solidFill>
          </w14:textFill>
        </w:rPr>
        <w:t>.</w:t>
      </w:r>
    </w:p>
    <w:p w14:paraId="453AF396">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5: it is not necessary to define additional SSB based L1 measurement delay requirements with filtering.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0EF6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B84B326">
            <w:pPr>
              <w:pStyle w:val="5"/>
              <w:numPr>
                <w:ilvl w:val="0"/>
                <w:numId w:val="0"/>
              </w:numPr>
              <w:tabs>
                <w:tab w:val="left" w:pos="432"/>
                <w:tab w:val="clear" w:pos="864"/>
              </w:tabs>
              <w:rPr>
                <w:rFonts w:hint="default" w:ascii="Times New Roman" w:hAnsi="Times New Roman" w:cs="Times New Roman"/>
                <w:b/>
                <w:bCs/>
                <w:sz w:val="20"/>
                <w:szCs w:val="20"/>
                <w:highlight w:val="none"/>
                <w:lang w:val="en-US"/>
              </w:rPr>
            </w:pPr>
            <w:r>
              <w:rPr>
                <w:rFonts w:hint="default" w:ascii="Times New Roman" w:hAnsi="Times New Roman" w:cs="Times New Roman"/>
                <w:b/>
                <w:bCs/>
                <w:sz w:val="20"/>
                <w:szCs w:val="20"/>
                <w:highlight w:val="none"/>
                <w:lang w:val="en-US"/>
              </w:rPr>
              <w:t>Issue 2-15: Impact of UL resource waiting time.</w:t>
            </w:r>
          </w:p>
          <w:p w14:paraId="581D2BC0">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&lt;Candidate options&gt;</w:t>
            </w:r>
          </w:p>
          <w:p w14:paraId="4DAB65DA">
            <w:pPr>
              <w:pStyle w:val="14"/>
              <w:numPr>
                <w:ilvl w:val="0"/>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 xml:space="preserve">Option 1: For L1 event triggered reporting, it needs to specify that L1 result which triggers L1 reporting will be included in L1 reporting. </w:t>
            </w:r>
            <w:r>
              <w:rPr>
                <w:rFonts w:hint="default" w:ascii="Times New Roman" w:hAnsi="Times New Roman" w:cs="Times New Roman"/>
                <w:bCs/>
                <w:color w:val="000000" w:themeColor="text1"/>
                <w:sz w:val="20"/>
                <w:szCs w:val="20"/>
                <w:lang w:val="en-US"/>
                <w14:textFill>
                  <w14:solidFill>
                    <w14:schemeClr w14:val="tx1"/>
                  </w14:solidFill>
                </w14:textFill>
              </w:rPr>
              <w:t>(Xiaomi)</w:t>
            </w:r>
          </w:p>
          <w:p w14:paraId="436F3835">
            <w:pPr>
              <w:pStyle w:val="14"/>
              <w:numPr>
                <w:ilvl w:val="1"/>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It means that if L1 reporting procedure starts, UE can continue to measure for L1, however, the following L1 result will not be evaluated for event anymore.</w:t>
            </w:r>
          </w:p>
          <w:p w14:paraId="1CCC2532">
            <w:pPr>
              <w:pStyle w:val="14"/>
              <w:numPr>
                <w:ilvl w:val="0"/>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Option 2: for event triggered L1 measurement reporting, it is proposed that measurement reporting delay excludes a delay which caused by no UL resources being available for UE to send the measurement report on, which is to follow the approach for event triggered L3 measurement reporting. (CMCC, Apple, vivo)</w:t>
            </w:r>
          </w:p>
          <w:p w14:paraId="5EBB9DC5">
            <w:pPr>
              <w:pStyle w:val="14"/>
              <w:numPr>
                <w:ilvl w:val="0"/>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Option 3: RAN4 to discuss components and criteria for defining T</w:t>
            </w:r>
            <w:r>
              <w:rPr>
                <w:rFonts w:hint="default" w:ascii="Times New Roman" w:hAnsi="Times New Roman" w:cs="Times New Roman"/>
                <w:bCs/>
                <w:color w:val="000000" w:themeColor="text1"/>
                <w:sz w:val="20"/>
                <w:szCs w:val="20"/>
                <w:vertAlign w:val="subscript"/>
                <w:lang w:val="en-US"/>
                <w14:textFill>
                  <w14:solidFill>
                    <w14:schemeClr w14:val="tx1"/>
                  </w14:solidFill>
                </w14:textFill>
              </w:rPr>
              <w:t>Time to first UL channel</w:t>
            </w:r>
            <w:r>
              <w:rPr>
                <w:rFonts w:hint="default" w:ascii="Times New Roman" w:hAnsi="Times New Roman" w:cs="Times New Roman"/>
                <w:bCs/>
                <w:color w:val="000000" w:themeColor="text1"/>
                <w:sz w:val="20"/>
                <w:szCs w:val="20"/>
                <w:lang w:val="en-US"/>
                <w14:textFill>
                  <w14:solidFill>
                    <w14:schemeClr w14:val="tx1"/>
                  </w14:solidFill>
                </w14:textFill>
              </w:rPr>
              <w:t xml:space="preserve"> (E///)</w:t>
            </w:r>
          </w:p>
          <w:p w14:paraId="5EA067A8">
            <w:pPr>
              <w:pStyle w:val="14"/>
              <w:numPr>
                <w:ilvl w:val="1"/>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Once the event is met, UE needs to send the indication on the SR or special SR to the NW to indicate to the NW that event is met. It can be denoted as T</w:t>
            </w:r>
            <w:r>
              <w:rPr>
                <w:rFonts w:hint="default" w:ascii="Times New Roman" w:hAnsi="Times New Roman" w:eastAsia="宋体" w:cs="Times New Roman"/>
                <w:bCs/>
                <w:color w:val="000000" w:themeColor="text1"/>
                <w:sz w:val="20"/>
                <w:szCs w:val="20"/>
                <w:vertAlign w:val="subscript"/>
                <w:lang w:val="en-US"/>
                <w14:textFill>
                  <w14:solidFill>
                    <w14:schemeClr w14:val="tx1"/>
                  </w14:solidFill>
                </w14:textFill>
              </w:rPr>
              <w:t>Time to first UL channel.</w:t>
            </w:r>
          </w:p>
          <w:p w14:paraId="5055B0CD">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&lt;Recommended WF&gt;</w:t>
            </w:r>
          </w:p>
          <w:p w14:paraId="1A2F0C3B">
            <w:pPr>
              <w:pStyle w:val="14"/>
              <w:numPr>
                <w:ilvl w:val="0"/>
                <w:numId w:val="4"/>
              </w:numPr>
              <w:spacing w:after="120"/>
              <w:ind w:firstLineChars="0"/>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color w:val="000000" w:themeColor="text1"/>
                <w:sz w:val="20"/>
                <w:szCs w:val="20"/>
                <w:lang w:val="en-US"/>
                <w14:textFill>
                  <w14:solidFill>
                    <w14:schemeClr w14:val="tx1"/>
                  </w14:solidFill>
                </w14:textFill>
              </w:rPr>
              <w:t>Continue discussion.</w:t>
            </w:r>
          </w:p>
        </w:tc>
      </w:tr>
    </w:tbl>
    <w:p w14:paraId="5E9623D7">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p>
    <w:p w14:paraId="5E6FD5A4">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legacy event triggered L3 measurement reporting, the reporting delay excludes a delay which caused by no UL resources being available for UE to send the measurement report on. Same approach can be used for L1 measurement reporting.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4DF1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5F9CE170">
            <w:pPr>
              <w:tabs>
                <w:tab w:val="left" w:pos="1134"/>
              </w:tabs>
              <w:spacing w:after="180" w:line="240" w:lineRule="exact"/>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eastAsia="宋体" w:cs="Times New Roman"/>
                <w:sz w:val="20"/>
                <w:szCs w:val="20"/>
                <w:highlight w:val="none"/>
                <w:vertAlign w:val="baseline"/>
                <w:lang w:val="en-US" w:eastAsia="zh-CN"/>
              </w:rPr>
              <w:t>TS 38.133</w:t>
            </w:r>
          </w:p>
          <w:p w14:paraId="6477654E">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9.2.4.3</w:t>
            </w:r>
            <w:r>
              <w:rPr>
                <w:rFonts w:hint="default" w:ascii="Times New Roman" w:hAnsi="Times New Roman" w:cs="Times New Roman"/>
                <w:sz w:val="20"/>
                <w:szCs w:val="20"/>
              </w:rPr>
              <w:tab/>
            </w:r>
            <w:r>
              <w:rPr>
                <w:rFonts w:hint="default" w:ascii="Times New Roman" w:hAnsi="Times New Roman" w:cs="Times New Roman"/>
                <w:sz w:val="20"/>
                <w:szCs w:val="20"/>
              </w:rPr>
              <w:t>Event Triggered Reporting</w:t>
            </w:r>
          </w:p>
          <w:p w14:paraId="7EB6355C">
            <w:pPr>
              <w:rPr>
                <w:rFonts w:hint="default" w:ascii="Times New Roman" w:hAnsi="Times New Roman" w:cs="Times New Roman"/>
                <w:sz w:val="20"/>
                <w:szCs w:val="20"/>
              </w:rPr>
            </w:pPr>
            <w:r>
              <w:rPr>
                <w:rFonts w:hint="default" w:ascii="Times New Roman" w:hAnsi="Times New Roman" w:cs="Times New Roman"/>
                <w:sz w:val="20"/>
                <w:szCs w:val="20"/>
              </w:rPr>
              <w:t>Reported RSRP, RSRQ, and RS-SINR measurements contained in event triggered measurement reports shall meet the requirements in clauses 10.1.2.1 (RSRP for FR1), 10.1.3.1 (RSRP for FR2), 10.1.7.1 (RSRQ for FR1), 10.1.8.1 (RSRQ for FR2), 10.1.12.1 (RS-SINR for FR1) and 10.1.13.1 (RS-SINR for FR2).</w:t>
            </w:r>
          </w:p>
          <w:p w14:paraId="79391ED6">
            <w:pPr>
              <w:rPr>
                <w:rFonts w:hint="default" w:ascii="Times New Roman" w:hAnsi="Times New Roman" w:cs="Times New Roman"/>
                <w:sz w:val="20"/>
                <w:szCs w:val="20"/>
              </w:rPr>
            </w:pPr>
          </w:p>
          <w:p w14:paraId="7907AC83">
            <w:pPr>
              <w:rPr>
                <w:rFonts w:hint="default" w:ascii="Times New Roman" w:hAnsi="Times New Roman" w:cs="Times New Roman"/>
                <w:sz w:val="20"/>
                <w:szCs w:val="20"/>
              </w:rPr>
            </w:pPr>
            <w:r>
              <w:rPr>
                <w:rFonts w:hint="default" w:ascii="Times New Roman" w:hAnsi="Times New Roman" w:cs="Times New Roman"/>
                <w:sz w:val="20"/>
                <w:szCs w:val="20"/>
              </w:rPr>
              <w:t>The UE shall not send any event triggered measurement reports as long as no reporting criteria is fulfilled.</w:t>
            </w:r>
          </w:p>
          <w:p w14:paraId="12788F28">
            <w:pPr>
              <w:rPr>
                <w:rFonts w:hint="default" w:ascii="Times New Roman" w:hAnsi="Times New Roman" w:cs="Times New Roman"/>
                <w:sz w:val="20"/>
                <w:szCs w:val="20"/>
              </w:rPr>
            </w:pPr>
          </w:p>
          <w:p w14:paraId="468952F7">
            <w:pPr>
              <w:rPr>
                <w:rFonts w:hint="default" w:ascii="Times New Roman" w:hAnsi="Times New Roman" w:cs="Times New Roman"/>
                <w:sz w:val="20"/>
                <w:szCs w:val="20"/>
              </w:rPr>
            </w:pPr>
            <w:r>
              <w:rPr>
                <w:rFonts w:hint="default" w:ascii="Times New Roman" w:hAnsi="Times New Roman" w:cs="Times New Roman"/>
                <w:sz w:val="20"/>
                <w:szCs w:val="20"/>
                <w:highlight w:val="none"/>
              </w:rPr>
              <w:t>The measurement reporting delay is defined as the time between an event that will trigger a measurement report and the point when the UE starts to transmit the measurement report over the air interface.</w:t>
            </w:r>
            <w:r>
              <w:rPr>
                <w:rFonts w:hint="default" w:ascii="Times New Roman" w:hAnsi="Times New Roman" w:cs="Times New Roman"/>
                <w:sz w:val="20"/>
                <w:szCs w:val="20"/>
              </w:rPr>
              <w:t xml:space="preserv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rFonts w:hint="default" w:ascii="Times New Roman" w:hAnsi="Times New Roman" w:cs="Times New Roman"/>
                <w:sz w:val="20"/>
                <w:szCs w:val="20"/>
                <w:vertAlign w:val="subscript"/>
              </w:rPr>
              <w:t>DCCH</w:t>
            </w:r>
            <w:r>
              <w:rPr>
                <w:rFonts w:hint="default" w:ascii="Times New Roman" w:hAnsi="Times New Roman" w:cs="Times New Roman"/>
                <w:sz w:val="20"/>
                <w:szCs w:val="20"/>
              </w:rPr>
              <w:t xml:space="preserve">. </w:t>
            </w:r>
            <w:r>
              <w:rPr>
                <w:rFonts w:hint="default" w:ascii="Times New Roman" w:hAnsi="Times New Roman" w:cs="Times New Roman"/>
                <w:sz w:val="20"/>
                <w:szCs w:val="20"/>
                <w:highlight w:val="cyan"/>
              </w:rPr>
              <w:t>This measurement reporting delay excludes a delay which caused by no UL resources being available for UE to send the measurement report on</w:t>
            </w:r>
            <w:r>
              <w:rPr>
                <w:rFonts w:hint="default" w:ascii="Times New Roman" w:hAnsi="Times New Roman" w:cs="Times New Roman"/>
                <w:sz w:val="20"/>
                <w:szCs w:val="20"/>
              </w:rPr>
              <w:t>.</w:t>
            </w:r>
          </w:p>
          <w:p w14:paraId="25F3B487">
            <w:pPr>
              <w:rPr>
                <w:rFonts w:hint="default" w:ascii="Times New Roman" w:hAnsi="Times New Roman" w:cs="Times New Roman"/>
                <w:sz w:val="20"/>
                <w:szCs w:val="20"/>
                <w:lang w:val="en-US" w:eastAsia="zh-CN"/>
              </w:rPr>
            </w:pPr>
          </w:p>
          <w:p w14:paraId="2F4CD4D6">
            <w:pPr>
              <w:rPr>
                <w:rFonts w:hint="default" w:ascii="Times New Roman" w:hAnsi="Times New Roman" w:cs="Times New Roman"/>
                <w:sz w:val="20"/>
                <w:szCs w:val="20"/>
              </w:rPr>
            </w:pPr>
            <w:r>
              <w:rPr>
                <w:rFonts w:hint="default" w:ascii="Times New Roman" w:hAnsi="Times New Roman" w:cs="Times New Roman"/>
                <w:sz w:val="20"/>
                <w:szCs w:val="20"/>
              </w:rPr>
              <w:t>The event triggered measurement reporting delay, measured without L3 filtering shall be less than T</w:t>
            </w:r>
            <w:r>
              <w:rPr>
                <w:rFonts w:hint="default" w:ascii="Times New Roman" w:hAnsi="Times New Roman" w:cs="Times New Roman"/>
                <w:sz w:val="20"/>
                <w:szCs w:val="20"/>
                <w:vertAlign w:val="subscript"/>
              </w:rPr>
              <w:t>identify intra with index</w:t>
            </w:r>
            <w:r>
              <w:rPr>
                <w:rFonts w:hint="default" w:ascii="Times New Roman" w:hAnsi="Times New Roman" w:cs="Times New Roman"/>
                <w:sz w:val="20"/>
                <w:szCs w:val="20"/>
              </w:rPr>
              <w:t xml:space="preserve"> or T </w:t>
            </w:r>
            <w:r>
              <w:rPr>
                <w:rFonts w:hint="default" w:ascii="Times New Roman" w:hAnsi="Times New Roman" w:cs="Times New Roman"/>
                <w:sz w:val="20"/>
                <w:szCs w:val="20"/>
                <w:vertAlign w:val="subscript"/>
              </w:rPr>
              <w:t>identify intra without index</w:t>
            </w:r>
            <w:r>
              <w:rPr>
                <w:rFonts w:hint="default" w:ascii="Times New Roman" w:hAnsi="Times New Roman" w:cs="Times New Roman"/>
                <w:sz w:val="20"/>
                <w:szCs w:val="20"/>
              </w:rPr>
              <w:t xml:space="preserve"> defined in clause 9.2.5.1 or clause 9.2.6.2.</w:t>
            </w:r>
            <w:r>
              <w:rPr>
                <w:rFonts w:hint="default" w:ascii="Times New Roman" w:hAnsi="Times New Roman" w:cs="Times New Roman"/>
                <w:sz w:val="20"/>
                <w:szCs w:val="20"/>
                <w:vertAlign w:val="subscript"/>
              </w:rPr>
              <w:t xml:space="preserve"> </w:t>
            </w:r>
            <w:r>
              <w:rPr>
                <w:rFonts w:hint="default" w:ascii="Times New Roman" w:hAnsi="Times New Roman" w:cs="Times New Roman"/>
                <w:sz w:val="20"/>
                <w:szCs w:val="20"/>
              </w:rPr>
              <w:t>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145B434C">
            <w:pPr>
              <w:rPr>
                <w:rFonts w:hint="default" w:ascii="Times New Roman" w:hAnsi="Times New Roman" w:cs="Times New Roman"/>
                <w:sz w:val="20"/>
                <w:szCs w:val="20"/>
                <w:lang w:val="en-US" w:eastAsia="zh-CN"/>
              </w:rPr>
            </w:pPr>
          </w:p>
        </w:tc>
      </w:tr>
    </w:tbl>
    <w:p w14:paraId="53029683">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p>
    <w:p w14:paraId="2BC31331">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 xml:space="preserve">Proposal 6: for event triggered L1 measurement reporting, it is proposed to follow the approach for event triggered L3 measurement reporting that measurement reporting delay excludes a delay which caused by no UL resources being available for UE to send the measurement report on. </w:t>
      </w:r>
    </w:p>
    <w:bookmarkEnd w:id="6"/>
    <w:bookmarkEnd w:id="7"/>
    <w:p w14:paraId="5187A4BE">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46578F3">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event triggered L1 measurement reporting. The proposals are:</w:t>
      </w:r>
    </w:p>
    <w:p w14:paraId="193280B2">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highlight w:val="none"/>
          <w:lang w:val="en-US" w:eastAsia="zh-CN"/>
        </w:rPr>
        <w:t xml:space="preserve">Proposal 1: it is not necessary to consider TTT </w:t>
      </w:r>
      <w:r>
        <w:rPr>
          <w:rFonts w:hint="default" w:ascii="Times New Roman" w:hAnsi="Times New Roman" w:cs="Times New Roman"/>
          <w:b/>
          <w:bCs/>
          <w:i/>
          <w:iCs/>
          <w:sz w:val="20"/>
          <w:szCs w:val="20"/>
          <w:highlight w:val="none"/>
          <w:lang w:val="en-US"/>
        </w:rPr>
        <w:t>in the L1 event-triggered reporting delay requirements</w:t>
      </w:r>
      <w:r>
        <w:rPr>
          <w:rFonts w:hint="eastAsia" w:ascii="Times New Roman" w:hAnsi="Times New Roman" w:cs="Times New Roman"/>
          <w:b/>
          <w:bCs/>
          <w:i/>
          <w:iCs/>
          <w:sz w:val="20"/>
          <w:szCs w:val="20"/>
          <w:highlight w:val="none"/>
          <w:lang w:val="en-US" w:eastAsia="zh-CN"/>
        </w:rPr>
        <w:t xml:space="preserve">, similar as that for legacy </w:t>
      </w:r>
      <w:r>
        <w:rPr>
          <w:rFonts w:hint="default" w:ascii="Times New Roman" w:hAnsi="Times New Roman" w:cs="Times New Roman"/>
          <w:b/>
          <w:bCs/>
          <w:i/>
          <w:iCs/>
          <w:sz w:val="20"/>
          <w:szCs w:val="20"/>
          <w:highlight w:val="none"/>
          <w:lang w:val="en-US"/>
        </w:rPr>
        <w:t>L</w:t>
      </w:r>
      <w:r>
        <w:rPr>
          <w:rFonts w:hint="eastAsia" w:ascii="Times New Roman" w:hAnsi="Times New Roman" w:cs="Times New Roman"/>
          <w:b/>
          <w:bCs/>
          <w:i/>
          <w:iCs/>
          <w:sz w:val="20"/>
          <w:szCs w:val="20"/>
          <w:highlight w:val="none"/>
          <w:lang w:val="en-US" w:eastAsia="zh-CN"/>
        </w:rPr>
        <w:t>3</w:t>
      </w:r>
      <w:r>
        <w:rPr>
          <w:rFonts w:hint="default" w:ascii="Times New Roman" w:hAnsi="Times New Roman" w:cs="Times New Roman"/>
          <w:b/>
          <w:bCs/>
          <w:i/>
          <w:iCs/>
          <w:sz w:val="20"/>
          <w:szCs w:val="20"/>
          <w:highlight w:val="none"/>
          <w:lang w:val="en-US"/>
        </w:rPr>
        <w:t xml:space="preserve"> event-triggered reporting delay requirements</w:t>
      </w:r>
      <w:r>
        <w:rPr>
          <w:rFonts w:hint="eastAsia" w:ascii="Times New Roman" w:hAnsi="Times New Roman" w:cs="Times New Roman"/>
          <w:b/>
          <w:bCs/>
          <w:i/>
          <w:iCs/>
          <w:sz w:val="20"/>
          <w:szCs w:val="20"/>
          <w:highlight w:val="none"/>
          <w:lang w:val="en-US" w:eastAsia="zh-CN"/>
        </w:rPr>
        <w:t>.</w:t>
      </w:r>
      <w:r>
        <w:rPr>
          <w:rFonts w:hint="eastAsia" w:ascii="Times New Roman" w:hAnsi="Times New Roman" w:cs="Times New Roman"/>
          <w:b/>
          <w:bCs/>
          <w:i/>
          <w:iCs/>
          <w:sz w:val="20"/>
          <w:szCs w:val="20"/>
          <w:lang w:val="en-US" w:eastAsia="zh-CN"/>
        </w:rPr>
        <w:t xml:space="preserve">   </w:t>
      </w:r>
    </w:p>
    <w:p w14:paraId="0C29E6AE">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Proposal 2: it is proposed to define </w:t>
      </w:r>
      <w:r>
        <w:rPr>
          <w:rFonts w:hint="eastAsia" w:ascii="Times New Roman" w:hAnsi="Times New Roman" w:cs="Times New Roman"/>
          <w:b/>
          <w:bCs/>
          <w:i/>
          <w:iCs/>
          <w:sz w:val="20"/>
          <w:szCs w:val="20"/>
          <w:lang w:val="en-US" w:eastAsia="zh-CN"/>
        </w:rPr>
        <w:t>capabilities for support of event triggering L1 measurement reporting.</w:t>
      </w: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 </w:t>
      </w:r>
      <w:r>
        <w:rPr>
          <w:rFonts w:hint="eastAsia" w:ascii="Times New Roman" w:hAnsi="Times New Roman" w:cs="Times New Roman"/>
          <w:b/>
          <w:bCs/>
          <w:i/>
          <w:iCs/>
          <w:sz w:val="20"/>
          <w:szCs w:val="20"/>
          <w:lang w:val="en-US" w:eastAsia="zh-CN"/>
        </w:rPr>
        <w:t xml:space="preserve">  </w:t>
      </w:r>
    </w:p>
    <w:p w14:paraId="0E70DF27">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3: to avoid the impact on L3 measurement reporting, it is proposed to define a separate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capability for supported number of events triggered L1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w:t>
      </w:r>
    </w:p>
    <w:p w14:paraId="3A0403B5">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4: it is not prefered to mix Rel-19 mobility and Rel-19 MIMO. The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capability for supported number of events triggered L1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is defined seperately for </w:t>
      </w:r>
      <w:r>
        <w:rPr>
          <w:rFonts w:hint="eastAsia" w:ascii="Times New Roman" w:hAnsi="Times New Roman" w:cs="Times New Roman"/>
          <w:b/>
          <w:bCs/>
          <w:i/>
          <w:iCs/>
          <w:sz w:val="20"/>
          <w:szCs w:val="20"/>
          <w:lang w:val="en-US" w:eastAsia="zh-CN"/>
        </w:rPr>
        <w:t>Rel-19 mobility and Rel-19 MIMO.</w:t>
      </w:r>
    </w:p>
    <w:p w14:paraId="07E506AA">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5: it is not necessary to define additional SSB based L1 measurement delay requirements with filtering.  </w:t>
      </w:r>
    </w:p>
    <w:p w14:paraId="08FB7172">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sz w:val="20"/>
          <w:szCs w:val="20"/>
          <w:highlight w:val="none"/>
        </w:rPr>
      </w:pPr>
      <w:r>
        <w:rPr>
          <w:rFonts w:hint="eastAsia" w:ascii="Times New Roman" w:hAnsi="Times New Roman" w:cs="Times New Roman"/>
          <w:b/>
          <w:bCs/>
          <w:i/>
          <w:iCs/>
          <w:sz w:val="20"/>
          <w:szCs w:val="20"/>
          <w:lang w:val="en-US" w:eastAsia="zh-CN"/>
        </w:rPr>
        <w:t xml:space="preserve">Proposal 6: for event triggered L1 measurement reporting, it is proposed to follow the approach for event triggered L3 measurement reporting that measurement reporting delay excludes a delay which caused by no UL resources being available for UE to send the measurement report on. </w:t>
      </w:r>
    </w:p>
    <w:p w14:paraId="6F7B8728">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14CA13B">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34036</w:t>
      </w:r>
      <w:r>
        <w:rPr>
          <w:rFonts w:ascii="Times" w:hAnsi="Times" w:eastAsia="宋体"/>
          <w:b w:val="0"/>
          <w:sz w:val="20"/>
          <w:lang w:eastAsia="zh-CN"/>
        </w:rPr>
        <w:t xml:space="preserve">, </w:t>
      </w:r>
      <w:r>
        <w:rPr>
          <w:rFonts w:hint="eastAsia" w:ascii="Times" w:hAnsi="Times" w:eastAsia="宋体"/>
          <w:b w:val="0"/>
          <w:sz w:val="20"/>
          <w:lang w:eastAsia="zh-CN"/>
        </w:rPr>
        <w:t>New WID: NR mobility enhancements Phase 4</w:t>
      </w:r>
    </w:p>
    <w:p w14:paraId="7038FF42">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w:t>
      </w:r>
      <w:r>
        <w:rPr>
          <w:rFonts w:hint="eastAsia" w:ascii="Times" w:hAnsi="Times" w:eastAsia="宋体"/>
          <w:b w:val="0"/>
          <w:sz w:val="20"/>
          <w:lang w:val="en-US" w:eastAsia="zh-CN"/>
        </w:rPr>
        <w:t>P</w:t>
      </w:r>
      <w:r>
        <w:rPr>
          <w:rFonts w:hint="eastAsia" w:ascii="Times" w:hAnsi="Times" w:eastAsia="宋体"/>
          <w:b w:val="0"/>
          <w:sz w:val="20"/>
          <w:lang w:eastAsia="zh-CN"/>
        </w:rPr>
        <w:t>-24</w:t>
      </w:r>
      <w:r>
        <w:rPr>
          <w:rFonts w:hint="eastAsia" w:ascii="Times" w:hAnsi="Times" w:eastAsia="宋体"/>
          <w:b w:val="0"/>
          <w:sz w:val="20"/>
          <w:lang w:val="en-US" w:eastAsia="zh-CN"/>
        </w:rPr>
        <w:t xml:space="preserve">2356, </w:t>
      </w:r>
      <w:r>
        <w:rPr>
          <w:rFonts w:hint="eastAsia" w:ascii="Times" w:hAnsi="Times" w:eastAsia="宋体"/>
          <w:b w:val="0"/>
          <w:sz w:val="20"/>
          <w:lang w:eastAsia="zh-CN"/>
        </w:rPr>
        <w:t xml:space="preserve">Revised Work Item: NR mobility enhancements Phase 4 </w:t>
      </w:r>
    </w:p>
    <w:p w14:paraId="41FA408E">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R4-2420101</w:t>
      </w:r>
      <w:r>
        <w:rPr>
          <w:rFonts w:hint="eastAsia" w:ascii="Times" w:hAnsi="Times" w:eastAsia="宋体"/>
          <w:b w:val="0"/>
          <w:sz w:val="20"/>
          <w:lang w:val="en-US" w:eastAsia="zh-CN"/>
        </w:rPr>
        <w:t>, WF on RRM requirements for NR_Mob_Ph4_Part1, Apple</w:t>
      </w:r>
    </w:p>
    <w:p w14:paraId="73D8EA6D">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R4-2416862</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NR_Mob_Ph4_Part1</w:t>
      </w:r>
      <w:r>
        <w:rPr>
          <w:rFonts w:hint="eastAsia" w:ascii="Times" w:hAnsi="Times" w:eastAsia="宋体"/>
          <w:b w:val="0"/>
          <w:sz w:val="20"/>
          <w:lang w:val="en-US" w:eastAsia="zh-CN"/>
        </w:rPr>
        <w:t>, Apple</w:t>
      </w:r>
    </w:p>
    <w:p w14:paraId="2FFCE10F">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 xml:space="preserve">R4-2414060, </w:t>
      </w:r>
      <w:r>
        <w:rPr>
          <w:rFonts w:hint="eastAsia" w:ascii="Times" w:hAnsi="Times" w:eastAsia="宋体"/>
          <w:b w:val="0"/>
          <w:sz w:val="20"/>
          <w:lang w:eastAsia="zh-CN"/>
        </w:rPr>
        <w:t>WF on R1</w:t>
      </w:r>
      <w:r>
        <w:rPr>
          <w:rFonts w:hint="eastAsia" w:ascii="Times" w:hAnsi="Times" w:eastAsia="宋体"/>
          <w:b w:val="0"/>
          <w:sz w:val="20"/>
          <w:lang w:val="en-US" w:eastAsia="zh-CN"/>
        </w:rPr>
        <w:t>9</w:t>
      </w:r>
      <w:r>
        <w:rPr>
          <w:rFonts w:hint="eastAsia" w:ascii="Times" w:hAnsi="Times" w:eastAsia="宋体"/>
          <w:b w:val="0"/>
          <w:sz w:val="20"/>
          <w:lang w:eastAsia="zh-CN"/>
        </w:rPr>
        <w:t xml:space="preserve"> Further NR mobility enhancement</w:t>
      </w:r>
      <w:r>
        <w:rPr>
          <w:rFonts w:hint="eastAsia" w:ascii="Times" w:hAnsi="Times" w:eastAsia="宋体"/>
          <w:b w:val="0"/>
          <w:sz w:val="20"/>
          <w:lang w:val="en-US" w:eastAsia="zh-CN"/>
        </w:rPr>
        <w:t>, Apple</w:t>
      </w:r>
    </w:p>
    <w:p w14:paraId="518264ED">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RP-233970</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WID on Further NR Mobility Enhancements</w:t>
      </w:r>
    </w:p>
    <w:p w14:paraId="45D6D25B">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45121B7F">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RP-242356, Revised Work Item: NR mobility enhancements Phase 4</w:t>
      </w:r>
    </w:p>
    <w:p w14:paraId="7A46E657">
      <w:pPr>
        <w:pStyle w:val="18"/>
        <w:framePr w:wrap="auto" w:vAnchor="margin" w:hAnchor="text" w:yAlign="inline"/>
        <w:ind w:right="400"/>
        <w:jc w:val="both"/>
        <w:rPr>
          <w:rFonts w:hint="eastAsia" w:ascii="Times" w:hAnsi="Times" w:eastAsia="宋体"/>
          <w:b w:val="0"/>
          <w:sz w:val="20"/>
          <w:lang w:val="en-US" w:eastAsia="zh-CN"/>
        </w:rPr>
      </w:pPr>
    </w:p>
    <w:p w14:paraId="6138FC7C"/>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195F0C"/>
    <w:rsid w:val="1097653D"/>
    <w:rsid w:val="17CF1E32"/>
    <w:rsid w:val="1D245D5D"/>
    <w:rsid w:val="20716758"/>
    <w:rsid w:val="22EF5A05"/>
    <w:rsid w:val="23555288"/>
    <w:rsid w:val="30C469A5"/>
    <w:rsid w:val="3A094EC7"/>
    <w:rsid w:val="3B78668C"/>
    <w:rsid w:val="3C8464D4"/>
    <w:rsid w:val="409969B6"/>
    <w:rsid w:val="443F297C"/>
    <w:rsid w:val="4585185F"/>
    <w:rsid w:val="473507D2"/>
    <w:rsid w:val="4ACD5D3A"/>
    <w:rsid w:val="4D34553A"/>
    <w:rsid w:val="54C2149E"/>
    <w:rsid w:val="5A6C76F1"/>
    <w:rsid w:val="5D2F6C90"/>
    <w:rsid w:val="62B40F62"/>
    <w:rsid w:val="63A65A71"/>
    <w:rsid w:val="63FF12A3"/>
    <w:rsid w:val="66B81714"/>
    <w:rsid w:val="67360C57"/>
    <w:rsid w:val="6F8A1747"/>
    <w:rsid w:val="72901CD2"/>
    <w:rsid w:val="7523162A"/>
    <w:rsid w:val="7B09796A"/>
    <w:rsid w:val="7C401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paragraph" w:styleId="6">
    <w:name w:val="heading 5"/>
    <w:basedOn w:val="5"/>
    <w:next w:val="1"/>
    <w:qFormat/>
    <w:uiPriority w:val="0"/>
    <w:pPr>
      <w:tabs>
        <w:tab w:val="left" w:pos="1152"/>
        <w:tab w:val="clear" w:pos="864"/>
      </w:tabs>
      <w:ind w:left="1152" w:hanging="1152"/>
      <w:outlineLvl w:val="4"/>
    </w:pPr>
    <w:rPr>
      <w:sz w:val="2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9">
    <w:name w:val="List"/>
    <w:basedOn w:val="1"/>
    <w:unhideWhenUsed/>
    <w:qFormat/>
    <w:uiPriority w:val="99"/>
    <w:pPr>
      <w:ind w:left="200" w:hanging="200" w:hangingChars="200"/>
      <w:contextualSpacing/>
    </w:p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NO"/>
    <w:basedOn w:val="1"/>
    <w:qFormat/>
    <w:uiPriority w:val="0"/>
    <w:pPr>
      <w:keepLines/>
      <w:ind w:left="1135" w:hanging="851"/>
    </w:pPr>
  </w:style>
  <w:style w:type="paragraph" w:styleId="14">
    <w:name w:val="List Paragraph"/>
    <w:basedOn w:val="1"/>
    <w:qFormat/>
    <w:uiPriority w:val="34"/>
    <w:pPr>
      <w:widowControl/>
      <w:ind w:firstLine="420" w:firstLineChars="200"/>
      <w:jc w:val="left"/>
    </w:pPr>
    <w:rPr>
      <w:rFonts w:ascii="宋体" w:hAnsi="宋体"/>
      <w:kern w:val="0"/>
    </w:rPr>
  </w:style>
  <w:style w:type="paragraph" w:customStyle="1" w:styleId="15">
    <w:name w:val="B1"/>
    <w:basedOn w:val="9"/>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6">
    <w:name w:val="TH"/>
    <w:basedOn w:val="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17">
    <w:name w:val="TF"/>
    <w:basedOn w:val="16"/>
    <w:qFormat/>
    <w:uiPriority w:val="0"/>
    <w:pPr>
      <w:keepNext w:val="0"/>
      <w:spacing w:before="0" w:after="240"/>
    </w:p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2024-11-03T00:48:00Z</dcterms:created>
  <dc:creator>cmcc</dc:creator>
  <cp:lastModifiedBy>Jingjing Chen_CMCC</cp:lastModifiedBy>
  <dcterms:modified xsi:type="dcterms:W3CDTF">2025-02-07T08:37:12Z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13EA236B3BF348BFA305056C5C1ABE48</vt:lpwstr>
  </property>
</Properties>
</file>